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/>
      </w:pPr>
      <w:bookmarkStart w:colFirst="0" w:colLast="0" w:name="_wyh5owxms4bp" w:id="0"/>
      <w:bookmarkEnd w:id="0"/>
      <w:r w:rsidDel="00000000" w:rsidR="00000000" w:rsidRPr="00000000">
        <w:rPr>
          <w:rtl w:val="0"/>
        </w:rPr>
        <w:t xml:space="preserve">Youth Project Framework for Students with IDD and Autism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8auonupru27g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Youth Project aims to empower students with intellectual and developmental disabilities (IDD) and Autism by providing them with self-advocacy tools, identifying their learning styles, and exploring post-secondary pathways in college, entrepreneurship, vocational, and trade programs. The program ensures students from diverse backgrounds and family supports receive equitable opportunities for success.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q1bm08fna4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Organizational Roles &amp; Responsibilities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Special Education (SPED) Teacher:</w:t>
      </w:r>
      <w:r w:rsidDel="00000000" w:rsidR="00000000" w:rsidRPr="00000000">
        <w:rPr>
          <w:rtl w:val="0"/>
        </w:rPr>
        <w:t xml:space="preserve"> Supports middle school students with accommodations, learning strategies, and social-emotional development.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Supplemental High School Program:</w:t>
      </w:r>
      <w:r w:rsidDel="00000000" w:rsidR="00000000" w:rsidRPr="00000000">
        <w:rPr>
          <w:rtl w:val="0"/>
        </w:rPr>
        <w:t xml:space="preserve"> Prepares students for workforce development and career readiness, providing resources on accommodations and accessibility.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Nonprofit Organization:</w:t>
      </w:r>
      <w:r w:rsidDel="00000000" w:rsidR="00000000" w:rsidRPr="00000000">
        <w:rPr>
          <w:rtl w:val="0"/>
        </w:rPr>
        <w:t xml:space="preserve"> Recruits students outside of the school setting, offers mentorship, and connects students to community partnerships.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phjr46g7fec2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Project Timeline &amp; Phases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urz9ddt48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1: Planning &amp; Development (1-2 Months Before Launch)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program goals and outcomes.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collaboration among key organizations.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curriculum covering self-advocacy, accommodations, career exploration, and communication strategies.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funding, partnerships, and resources for program implementation.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assistive technology tools and support systems.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0e63eh9vr6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2: Student Recruitment &amp; Onboarding (1-2 Months Before Launch, Ongoing)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Outreach via middle schools, high schools, and community organizations.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student recruitment and onboarding workflow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Application and intake process, including needs assessments and baseline evaluations.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Orientation sessions for students and families to introduce program expectations and resources.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wvqo8lfwn9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ky1ycc7vi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gc6qrb0do8e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3: Program Implementation (up to 12 Weeks)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3824288" cy="24085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4288" cy="24085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jvvw0nc4b43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Self-Advocacy 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Learning Accommodations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IEPs, 504 Plans, and requesting accommodations (tools for the toolbelt).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Verbal and non-verbal communication techniques for self-expression.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eqal2r1w983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Education &amp; Career Pathways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College readiness workshops (applications, financial aid, accessibility services).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Vocational and trade program exploration through site visits and hands-on training.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Entrepreneurship training in creative arts and technology-based businesses.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2cpbb9mykp3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Social-Emotional Learning &amp; Community Engagement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Peer mentorship and group discussions.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Real-world role-playing (job interviews, college life, professional settings).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 and family engagement workshops.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l4urr1m0n5f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4: Transition Planning &amp; Ongoing Support (Final 4 Weeks &amp; Beyond)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Individualized Transition Plans outlining next steps (college, employment, independent living).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Connection to transition coordinators, job coaches, and disability support services.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Development of an alumni mentorship network for continued guidance and community involvement.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 evaluation through surveys, outcome tracking, and strategy refinement for future cohorts.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r3v3p79dditj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oax5aut5zcfc" w:id="14"/>
      <w:bookmarkEnd w:id="1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Making This Framework Accessible for All Learning Styles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all students understand and engage with the program, we incorporate: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Visual Learners:</w:t>
      </w:r>
      <w:r w:rsidDel="00000000" w:rsidR="00000000" w:rsidRPr="00000000">
        <w:rPr>
          <w:rtl w:val="0"/>
        </w:rPr>
        <w:t xml:space="preserve"> Infographics, flowcharts, and illustrated guides explaining each step.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Auditory Learners:</w:t>
      </w:r>
      <w:r w:rsidDel="00000000" w:rsidR="00000000" w:rsidRPr="00000000">
        <w:rPr>
          <w:rtl w:val="0"/>
        </w:rPr>
        <w:t xml:space="preserve"> Group discussions, recorded audio explanations, and peer mentorship.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Kinesthetic Learners:</w:t>
      </w:r>
      <w:r w:rsidDel="00000000" w:rsidR="00000000" w:rsidRPr="00000000">
        <w:rPr>
          <w:rtl w:val="0"/>
        </w:rPr>
        <w:t xml:space="preserve"> Hands-on activities, role-playing, and interactive workshops.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Reading/Writing Learners:</w:t>
      </w:r>
      <w:r w:rsidDel="00000000" w:rsidR="00000000" w:rsidRPr="00000000">
        <w:rPr>
          <w:rtl w:val="0"/>
        </w:rPr>
        <w:t xml:space="preserve"> Clear written guides, note-taking supports, and reflection journals.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Resource: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https://livestreamlearningstudio.com/blog/teaching-learning-styles-and-accommodating-to-them/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Additionally, we provide assistive technology for non-verbal students, allowing them to express themselves using communication boards, speech-to-text tools, and adaptive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4lkvxjta2ugq" w:id="15"/>
      <w:bookmarkEnd w:id="1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Sustainability &amp; Growth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long-term success, the project will: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Expand partnerships with advocacy groups, employers, and higher education institutions.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grants and sponsorships to fund additional resources and scaling.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student-led initiatives to promote self-advocacy and disability awareness in the broader community.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Conclusion:</w:t>
      </w:r>
      <w:r w:rsidDel="00000000" w:rsidR="00000000" w:rsidRPr="00000000">
        <w:rPr>
          <w:rtl w:val="0"/>
        </w:rPr>
        <w:t xml:space="preserve"> This framework provides a structured approach to supporting students with IDD and Autism, equipping them with essential life skills, educational pathways, and self-advocacy tools. The collaboration between educators, supplemental programs, and nonprofits ensures a holistic approach to student success beyond the classroom.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ivestreamlearningstudio.com/blog/teaching-learning-styles-and-accommodating-to-th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